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AF" w:rsidRDefault="00CA4927">
      <w:pPr>
        <w:pBdr>
          <w:bottom w:val="single" w:sz="4" w:space="1" w:color="000000"/>
        </w:pBdr>
        <w:spacing w:line="276" w:lineRule="auto"/>
        <w:jc w:val="both"/>
        <w:rPr>
          <w:rFonts w:ascii="Arial" w:eastAsia="Arial" w:hAnsi="Arial" w:cs="Arial"/>
          <w:b/>
          <w:color w:val="21282E"/>
          <w:sz w:val="28"/>
          <w:szCs w:val="28"/>
          <w:highlight w:val="white"/>
        </w:rPr>
      </w:pPr>
      <w:proofErr w:type="spellStart"/>
      <w:r>
        <w:rPr>
          <w:rFonts w:ascii="Arial" w:eastAsia="Arial" w:hAnsi="Arial" w:cs="Arial"/>
          <w:b/>
          <w:color w:val="21282E"/>
          <w:sz w:val="28"/>
          <w:szCs w:val="28"/>
          <w:highlight w:val="white"/>
        </w:rPr>
        <w:t>Telenor</w:t>
      </w:r>
      <w:proofErr w:type="spellEnd"/>
      <w:r>
        <w:rPr>
          <w:rFonts w:ascii="Arial" w:eastAsia="Arial" w:hAnsi="Arial" w:cs="Arial"/>
          <w:b/>
          <w:color w:val="21282E"/>
          <w:sz w:val="28"/>
          <w:szCs w:val="28"/>
          <w:highlight w:val="white"/>
        </w:rPr>
        <w:t xml:space="preserve"> </w:t>
      </w:r>
      <w:proofErr w:type="spellStart"/>
      <w:r>
        <w:rPr>
          <w:rFonts w:ascii="Arial" w:eastAsia="Arial" w:hAnsi="Arial" w:cs="Arial"/>
          <w:b/>
          <w:color w:val="21282E"/>
          <w:sz w:val="28"/>
          <w:szCs w:val="28"/>
          <w:highlight w:val="white"/>
        </w:rPr>
        <w:t>Hipersuli</w:t>
      </w:r>
      <w:proofErr w:type="spellEnd"/>
      <w:r>
        <w:rPr>
          <w:rFonts w:ascii="Arial" w:eastAsia="Arial" w:hAnsi="Arial" w:cs="Arial"/>
          <w:b/>
          <w:color w:val="21282E"/>
          <w:sz w:val="28"/>
          <w:szCs w:val="28"/>
          <w:highlight w:val="white"/>
        </w:rPr>
        <w:t xml:space="preserve"> – hipersuli.hu (új iskolák)</w:t>
      </w:r>
    </w:p>
    <w:p w:rsidR="00F75BAF" w:rsidRDefault="00CA4927">
      <w:pPr>
        <w:shd w:val="clear" w:color="auto" w:fill="FFFFFF"/>
        <w:spacing w:before="300" w:after="300" w:line="276" w:lineRule="auto"/>
        <w:ind w:right="300"/>
        <w:jc w:val="both"/>
        <w:rPr>
          <w:rFonts w:ascii="Arial" w:eastAsia="Arial" w:hAnsi="Arial" w:cs="Arial"/>
          <w:color w:val="21282E"/>
        </w:rPr>
      </w:pPr>
      <w:r>
        <w:rPr>
          <w:rFonts w:ascii="Arial" w:eastAsia="Arial" w:hAnsi="Arial" w:cs="Arial"/>
          <w:i/>
          <w:color w:val="21282E"/>
        </w:rPr>
        <w:t xml:space="preserve">„A </w:t>
      </w:r>
      <w:proofErr w:type="spellStart"/>
      <w:r>
        <w:rPr>
          <w:rFonts w:ascii="Arial" w:eastAsia="Arial" w:hAnsi="Arial" w:cs="Arial"/>
          <w:i/>
          <w:color w:val="21282E"/>
        </w:rPr>
        <w:t>Hipersuli</w:t>
      </w:r>
      <w:proofErr w:type="spellEnd"/>
      <w:r>
        <w:rPr>
          <w:rFonts w:ascii="Arial" w:eastAsia="Arial" w:hAnsi="Arial" w:cs="Arial"/>
          <w:i/>
          <w:color w:val="21282E"/>
        </w:rPr>
        <w:t xml:space="preserve"> program célja, hogy a rendelkezésünkre álló korszerű technológiát és tudást az oktatás digitalizációjának szolgálatába állítsuk. Fontos törekvésünk az is, hogy a </w:t>
      </w:r>
      <w:proofErr w:type="spellStart"/>
      <w:r>
        <w:rPr>
          <w:rFonts w:ascii="Arial" w:eastAsia="Arial" w:hAnsi="Arial" w:cs="Arial"/>
          <w:i/>
          <w:color w:val="21282E"/>
        </w:rPr>
        <w:t>Hipersuli</w:t>
      </w:r>
      <w:proofErr w:type="spellEnd"/>
      <w:r>
        <w:rPr>
          <w:rFonts w:ascii="Arial" w:eastAsia="Arial" w:hAnsi="Arial" w:cs="Arial"/>
          <w:i/>
          <w:color w:val="21282E"/>
        </w:rPr>
        <w:t xml:space="preserve"> révén egy olyan közösséget építsünk, amelyben az iskolák, pedagógusok és az oktatás más szereplői aktívan megoszthatják egymással digitális ismereteiket és tapasztalataikat, és ezzel az egész társadalom ügyét szolgálhatják. Büszkék vagyunk rá, hogy egyre több iskolát üdvözölhetünk ebben a közösségben.” </w:t>
      </w:r>
      <w:r>
        <w:rPr>
          <w:rFonts w:ascii="Arial" w:eastAsia="Arial" w:hAnsi="Arial" w:cs="Arial"/>
          <w:color w:val="21282E"/>
        </w:rPr>
        <w:t>– Kutas István, a Telenor Magyország vállalati kommunikációs igazgatója.</w:t>
      </w:r>
    </w:p>
    <w:p w:rsidR="00F75BAF" w:rsidRDefault="00CA4927">
      <w:pPr>
        <w:spacing w:line="276" w:lineRule="auto"/>
        <w:jc w:val="both"/>
        <w:rPr>
          <w:rFonts w:ascii="Arial" w:eastAsia="Arial" w:hAnsi="Arial" w:cs="Arial"/>
          <w:color w:val="21282E"/>
          <w:highlight w:val="white"/>
        </w:rPr>
      </w:pPr>
      <w:bookmarkStart w:id="0" w:name="_gjdgxs" w:colFirst="0" w:colLast="0"/>
      <w:bookmarkEnd w:id="0"/>
      <w:r>
        <w:rPr>
          <w:rFonts w:ascii="Arial" w:eastAsia="Arial" w:hAnsi="Arial" w:cs="Arial"/>
          <w:color w:val="21282E"/>
          <w:highlight w:val="white"/>
        </w:rPr>
        <w:t xml:space="preserve">A Telenor digitális oktatási programja egy pilot után 2015 májusában indult el az ország különböző térségeiben. A Telenor kezdetben mintegy 160 </w:t>
      </w:r>
      <w:proofErr w:type="spellStart"/>
      <w:r>
        <w:rPr>
          <w:rFonts w:ascii="Arial" w:eastAsia="Arial" w:hAnsi="Arial" w:cs="Arial"/>
          <w:color w:val="21282E"/>
          <w:highlight w:val="white"/>
        </w:rPr>
        <w:t>Hipernet-eléréssel</w:t>
      </w:r>
      <w:proofErr w:type="spellEnd"/>
      <w:r>
        <w:rPr>
          <w:rFonts w:ascii="Arial" w:eastAsia="Arial" w:hAnsi="Arial" w:cs="Arial"/>
          <w:color w:val="21282E"/>
          <w:highlight w:val="white"/>
        </w:rPr>
        <w:t xml:space="preserve"> felszerelt táblagépet juttatott el a </w:t>
      </w:r>
      <w:proofErr w:type="spellStart"/>
      <w:r>
        <w:rPr>
          <w:rFonts w:ascii="Arial" w:eastAsia="Arial" w:hAnsi="Arial" w:cs="Arial"/>
          <w:color w:val="21282E"/>
          <w:highlight w:val="white"/>
        </w:rPr>
        <w:t>Hipersuli</w:t>
      </w:r>
      <w:proofErr w:type="spellEnd"/>
      <w:r>
        <w:rPr>
          <w:rFonts w:ascii="Arial" w:eastAsia="Arial" w:hAnsi="Arial" w:cs="Arial"/>
          <w:color w:val="21282E"/>
          <w:highlight w:val="white"/>
        </w:rPr>
        <w:t xml:space="preserve"> Oktatási Program idejére az 5 alapító - budapesti, ercsi, hódmezővásárhelyi, törökbálinti és </w:t>
      </w:r>
      <w:proofErr w:type="spellStart"/>
      <w:r>
        <w:rPr>
          <w:rFonts w:ascii="Arial" w:eastAsia="Arial" w:hAnsi="Arial" w:cs="Arial"/>
          <w:color w:val="21282E"/>
          <w:highlight w:val="white"/>
        </w:rPr>
        <w:t>zsombói</w:t>
      </w:r>
      <w:proofErr w:type="spellEnd"/>
      <w:r>
        <w:rPr>
          <w:rFonts w:ascii="Arial" w:eastAsia="Arial" w:hAnsi="Arial" w:cs="Arial"/>
          <w:color w:val="21282E"/>
          <w:highlight w:val="white"/>
        </w:rPr>
        <w:t xml:space="preserve"> - iskolába, és több módon is segíti a tanárok felkészülését, valamint biztosítja a digitális oktatáshoz szükséges háttértevékenységeket. A program alapvető célja, hogy a legmodernebb technológiák felhasználásával a gyerekek oktatására és készségfejlesztésére a hagyományos, tankönyvekkel történő oktatás kiegészítésére hatékony és élvezetes lehetőségeket dolgozzanak ki.</w:t>
      </w:r>
    </w:p>
    <w:p w:rsidR="00F75BAF" w:rsidRDefault="00CA4927">
      <w:pPr>
        <w:spacing w:line="276" w:lineRule="auto"/>
        <w:jc w:val="both"/>
        <w:rPr>
          <w:rFonts w:ascii="Arial" w:eastAsia="Arial" w:hAnsi="Arial" w:cs="Arial"/>
          <w:color w:val="21282E"/>
          <w:highlight w:val="white"/>
        </w:rPr>
      </w:pPr>
      <w:r>
        <w:rPr>
          <w:rFonts w:ascii="Arial" w:eastAsia="Arial" w:hAnsi="Arial" w:cs="Arial"/>
          <w:color w:val="21282E"/>
          <w:highlight w:val="white"/>
        </w:rPr>
        <w:t xml:space="preserve">A </w:t>
      </w:r>
      <w:proofErr w:type="spellStart"/>
      <w:r>
        <w:rPr>
          <w:rFonts w:ascii="Arial" w:eastAsia="Arial" w:hAnsi="Arial" w:cs="Arial"/>
          <w:color w:val="21282E"/>
          <w:highlight w:val="white"/>
        </w:rPr>
        <w:t>Hipersuli</w:t>
      </w:r>
      <w:proofErr w:type="spellEnd"/>
      <w:r>
        <w:rPr>
          <w:rFonts w:ascii="Arial" w:eastAsia="Arial" w:hAnsi="Arial" w:cs="Arial"/>
          <w:color w:val="21282E"/>
          <w:highlight w:val="white"/>
        </w:rPr>
        <w:t xml:space="preserve"> keretében a pedagógusok szakmai képzést kapnak, továbbá részesei lehetnek egy lelkes és tevékeny tanári közösségnek. A közreműködő rendszergazdáknak a Telenor együttműködő partnere, a Microsoft segítségével biztosít támogatást. A program kiemelten épít a csatlakozott iskolák pedagógusainak digitális szakmai tapasztalataira, ösztönzi és elősegíti tapasztalatcseréjüket annak érdekében, hogy a felgyülemlett ismereteket a közoktatás bármely szereplője felhasználhassa. </w:t>
      </w:r>
    </w:p>
    <w:p w:rsidR="00F75BAF" w:rsidRDefault="00CA4927">
      <w:pPr>
        <w:pBdr>
          <w:top w:val="nil"/>
          <w:left w:val="nil"/>
          <w:bottom w:val="nil"/>
          <w:right w:val="nil"/>
          <w:between w:val="nil"/>
        </w:pBdr>
        <w:shd w:val="clear" w:color="auto" w:fill="FFFFFF"/>
        <w:spacing w:before="300" w:after="300" w:line="276" w:lineRule="auto"/>
        <w:ind w:right="300"/>
        <w:jc w:val="both"/>
        <w:rPr>
          <w:rFonts w:ascii="Arial" w:eastAsia="Arial" w:hAnsi="Arial" w:cs="Arial"/>
          <w:color w:val="21282E"/>
        </w:rPr>
      </w:pPr>
      <w:r>
        <w:rPr>
          <w:rFonts w:ascii="Arial" w:eastAsia="Arial" w:hAnsi="Arial" w:cs="Arial"/>
          <w:color w:val="21282E"/>
        </w:rPr>
        <w:t xml:space="preserve">A program 2016. decemberi megnyitása óta csatlakozottaknak köszönhetően már az ország 15 iskolájában, több mint négyezer diák és közel 180 pedagógus részese a </w:t>
      </w:r>
      <w:proofErr w:type="spellStart"/>
      <w:r>
        <w:rPr>
          <w:rFonts w:ascii="Arial" w:eastAsia="Arial" w:hAnsi="Arial" w:cs="Arial"/>
          <w:color w:val="21282E"/>
        </w:rPr>
        <w:t>Hipersulinak</w:t>
      </w:r>
      <w:proofErr w:type="spellEnd"/>
      <w:r>
        <w:rPr>
          <w:rFonts w:ascii="Arial" w:eastAsia="Arial" w:hAnsi="Arial" w:cs="Arial"/>
          <w:color w:val="21282E"/>
        </w:rPr>
        <w:t xml:space="preserve">, és még sokszínűbbé vált a részt vevő általános és középiskolák palettája. A „hagyományos” intézmények és a tanárképzős hallgatóknak szakmai gyakorlatot biztosító gyakorlóiskola mellett már művészeti képzésre specializálódott intézmény, valamint egy mozgáskorlátozott gyermekek szolgálatában álló iskola is alkalmazza a </w:t>
      </w:r>
      <w:proofErr w:type="spellStart"/>
      <w:r>
        <w:rPr>
          <w:rFonts w:ascii="Arial" w:eastAsia="Arial" w:hAnsi="Arial" w:cs="Arial"/>
          <w:color w:val="21282E"/>
        </w:rPr>
        <w:t>Hipersuliban</w:t>
      </w:r>
      <w:proofErr w:type="spellEnd"/>
      <w:r>
        <w:rPr>
          <w:rFonts w:ascii="Arial" w:eastAsia="Arial" w:hAnsi="Arial" w:cs="Arial"/>
          <w:color w:val="21282E"/>
        </w:rPr>
        <w:t xml:space="preserve"> felgyűlt digitális tudást.</w:t>
      </w:r>
    </w:p>
    <w:p w:rsidR="00F75BAF" w:rsidRDefault="00CA4927">
      <w:pPr>
        <w:pBdr>
          <w:top w:val="nil"/>
          <w:left w:val="nil"/>
          <w:bottom w:val="nil"/>
          <w:right w:val="nil"/>
          <w:between w:val="nil"/>
        </w:pBdr>
        <w:shd w:val="clear" w:color="auto" w:fill="FFFFFF"/>
        <w:spacing w:before="300" w:after="300" w:line="276" w:lineRule="auto"/>
        <w:ind w:right="300"/>
        <w:jc w:val="both"/>
        <w:rPr>
          <w:rFonts w:ascii="Arial" w:eastAsia="Arial" w:hAnsi="Arial" w:cs="Arial"/>
          <w:color w:val="21282E"/>
        </w:rPr>
      </w:pPr>
      <w:r>
        <w:rPr>
          <w:rFonts w:ascii="Arial" w:eastAsia="Arial" w:hAnsi="Arial" w:cs="Arial"/>
          <w:color w:val="21282E"/>
        </w:rPr>
        <w:t xml:space="preserve">A program fontos szereplői azok az oktatással foglalkozó magyar startupok, amelyek szolgáltatásait a </w:t>
      </w:r>
      <w:proofErr w:type="spellStart"/>
      <w:r>
        <w:rPr>
          <w:rFonts w:ascii="Arial" w:eastAsia="Arial" w:hAnsi="Arial" w:cs="Arial"/>
          <w:color w:val="21282E"/>
        </w:rPr>
        <w:t>Hipersuli-iskolák</w:t>
      </w:r>
      <w:proofErr w:type="spellEnd"/>
      <w:r>
        <w:rPr>
          <w:rFonts w:ascii="Arial" w:eastAsia="Arial" w:hAnsi="Arial" w:cs="Arial"/>
          <w:color w:val="21282E"/>
        </w:rPr>
        <w:t xml:space="preserve"> díjmentesen használhatják, a tanárok pedig visszajelzéseiket közvetlenül visszacsatolják a fejlesztőknek. A </w:t>
      </w:r>
      <w:proofErr w:type="spellStart"/>
      <w:r>
        <w:rPr>
          <w:rFonts w:ascii="Arial" w:eastAsia="Arial" w:hAnsi="Arial" w:cs="Arial"/>
          <w:color w:val="21282E"/>
        </w:rPr>
        <w:t>Tabello</w:t>
      </w:r>
      <w:proofErr w:type="spellEnd"/>
      <w:r>
        <w:rPr>
          <w:rFonts w:ascii="Arial" w:eastAsia="Arial" w:hAnsi="Arial" w:cs="Arial"/>
          <w:color w:val="21282E"/>
        </w:rPr>
        <w:t xml:space="preserve"> és az </w:t>
      </w:r>
      <w:proofErr w:type="spellStart"/>
      <w:r>
        <w:rPr>
          <w:rFonts w:ascii="Arial" w:eastAsia="Arial" w:hAnsi="Arial" w:cs="Arial"/>
          <w:color w:val="21282E"/>
        </w:rPr>
        <w:t>Intellisense</w:t>
      </w:r>
      <w:proofErr w:type="spellEnd"/>
      <w:r>
        <w:rPr>
          <w:rFonts w:ascii="Arial" w:eastAsia="Arial" w:hAnsi="Arial" w:cs="Arial"/>
          <w:color w:val="21282E"/>
        </w:rPr>
        <w:t xml:space="preserve"> fejlesztései izgalmasabbá teszik a nyelv- és a természettudományos órákat, a Redmenta online feladatlap-készítője pedig megkönnyíti a számonkérést. A Magyar Digitális Oktatásért Egyesület a program stratégiai partnereként segít a képzéseket országosan eljuttatni a </w:t>
      </w:r>
      <w:proofErr w:type="spellStart"/>
      <w:r>
        <w:rPr>
          <w:rFonts w:ascii="Arial" w:eastAsia="Arial" w:hAnsi="Arial" w:cs="Arial"/>
          <w:color w:val="21282E"/>
        </w:rPr>
        <w:t>Hipersuli-pedagógusokhoz</w:t>
      </w:r>
      <w:proofErr w:type="spellEnd"/>
      <w:r>
        <w:rPr>
          <w:rFonts w:ascii="Arial" w:eastAsia="Arial" w:hAnsi="Arial" w:cs="Arial"/>
          <w:color w:val="21282E"/>
        </w:rPr>
        <w:t>, fejlesztve digitális eszköztárukat és ismereteiket.</w:t>
      </w:r>
    </w:p>
    <w:p w:rsidR="00F75BAF" w:rsidRDefault="00CA4927">
      <w:pPr>
        <w:shd w:val="clear" w:color="auto" w:fill="FFFFFF"/>
        <w:spacing w:before="300" w:after="300" w:line="276" w:lineRule="auto"/>
        <w:ind w:right="300"/>
        <w:jc w:val="both"/>
        <w:rPr>
          <w:rFonts w:ascii="Arial" w:eastAsia="Arial" w:hAnsi="Arial" w:cs="Arial"/>
          <w:color w:val="21282E"/>
        </w:rPr>
      </w:pPr>
      <w:r>
        <w:rPr>
          <w:rFonts w:ascii="Arial" w:eastAsia="Arial" w:hAnsi="Arial" w:cs="Arial"/>
          <w:color w:val="21282E"/>
        </w:rPr>
        <w:t xml:space="preserve">Tabletes órák intézményünkben: </w:t>
      </w:r>
    </w:p>
    <w:tbl>
      <w:tblPr>
        <w:tblStyle w:val="a"/>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5"/>
        <w:gridCol w:w="4035"/>
        <w:gridCol w:w="4020"/>
      </w:tblGrid>
      <w:tr w:rsidR="00F75BAF">
        <w:trPr>
          <w:trHeight w:val="300"/>
        </w:trPr>
        <w:tc>
          <w:tcPr>
            <w:tcW w:w="2405" w:type="dxa"/>
            <w:shd w:val="clear" w:color="auto" w:fill="EFEFEF"/>
            <w:tcMar>
              <w:top w:w="0" w:type="dxa"/>
              <w:left w:w="45" w:type="dxa"/>
              <w:bottom w:w="0" w:type="dxa"/>
              <w:right w:w="45" w:type="dxa"/>
            </w:tcMar>
            <w:vAlign w:val="center"/>
          </w:tcPr>
          <w:p w:rsidR="00F75BAF" w:rsidRDefault="00CA4927">
            <w:pPr>
              <w:spacing w:after="0" w:line="240" w:lineRule="auto"/>
              <w:jc w:val="center"/>
              <w:rPr>
                <w:rFonts w:ascii="Arial" w:eastAsia="Arial" w:hAnsi="Arial" w:cs="Arial"/>
                <w:b/>
              </w:rPr>
            </w:pPr>
            <w:r>
              <w:rPr>
                <w:rFonts w:ascii="Arial" w:eastAsia="Arial" w:hAnsi="Arial" w:cs="Arial"/>
                <w:b/>
              </w:rPr>
              <w:t>Pedagógus</w:t>
            </w:r>
          </w:p>
        </w:tc>
        <w:tc>
          <w:tcPr>
            <w:tcW w:w="4035" w:type="dxa"/>
            <w:shd w:val="clear" w:color="auto" w:fill="EFEFEF"/>
            <w:tcMar>
              <w:top w:w="0" w:type="dxa"/>
              <w:left w:w="45" w:type="dxa"/>
              <w:bottom w:w="0" w:type="dxa"/>
              <w:right w:w="45" w:type="dxa"/>
            </w:tcMar>
            <w:vAlign w:val="center"/>
          </w:tcPr>
          <w:p w:rsidR="00F75BAF" w:rsidRDefault="00CA4927">
            <w:pPr>
              <w:spacing w:after="0" w:line="240" w:lineRule="auto"/>
              <w:jc w:val="center"/>
              <w:rPr>
                <w:rFonts w:ascii="Arial" w:eastAsia="Arial" w:hAnsi="Arial" w:cs="Arial"/>
                <w:b/>
              </w:rPr>
            </w:pPr>
            <w:r>
              <w:rPr>
                <w:rFonts w:ascii="Arial" w:eastAsia="Arial" w:hAnsi="Arial" w:cs="Arial"/>
                <w:b/>
              </w:rPr>
              <w:t>Tantárgy(</w:t>
            </w:r>
            <w:proofErr w:type="spellStart"/>
            <w:r>
              <w:rPr>
                <w:rFonts w:ascii="Arial" w:eastAsia="Arial" w:hAnsi="Arial" w:cs="Arial"/>
                <w:b/>
              </w:rPr>
              <w:t>ak</w:t>
            </w:r>
            <w:proofErr w:type="spellEnd"/>
            <w:r>
              <w:rPr>
                <w:rFonts w:ascii="Arial" w:eastAsia="Arial" w:hAnsi="Arial" w:cs="Arial"/>
                <w:b/>
              </w:rPr>
              <w:t>)</w:t>
            </w:r>
          </w:p>
        </w:tc>
        <w:tc>
          <w:tcPr>
            <w:tcW w:w="4020" w:type="dxa"/>
            <w:shd w:val="clear" w:color="auto" w:fill="EFEFEF"/>
            <w:tcMar>
              <w:top w:w="0" w:type="dxa"/>
              <w:left w:w="45" w:type="dxa"/>
              <w:bottom w:w="0" w:type="dxa"/>
              <w:right w:w="45" w:type="dxa"/>
            </w:tcMar>
            <w:vAlign w:val="center"/>
          </w:tcPr>
          <w:p w:rsidR="00F75BAF" w:rsidRDefault="00CA4927">
            <w:pPr>
              <w:spacing w:after="0" w:line="240" w:lineRule="auto"/>
              <w:jc w:val="center"/>
              <w:rPr>
                <w:rFonts w:ascii="Arial" w:eastAsia="Arial" w:hAnsi="Arial" w:cs="Arial"/>
                <w:b/>
              </w:rPr>
            </w:pPr>
            <w:r>
              <w:rPr>
                <w:rFonts w:ascii="Arial" w:eastAsia="Arial" w:hAnsi="Arial" w:cs="Arial"/>
                <w:b/>
              </w:rPr>
              <w:t>Osztály(ok)</w:t>
            </w:r>
          </w:p>
        </w:tc>
      </w:tr>
      <w:tr w:rsidR="00F75BAF">
        <w:trPr>
          <w:trHeight w:val="300"/>
        </w:trPr>
        <w:tc>
          <w:tcPr>
            <w:tcW w:w="2405" w:type="dxa"/>
            <w:tcMar>
              <w:top w:w="0" w:type="dxa"/>
              <w:left w:w="45" w:type="dxa"/>
              <w:bottom w:w="0" w:type="dxa"/>
              <w:right w:w="45" w:type="dxa"/>
            </w:tcMar>
            <w:vAlign w:val="center"/>
          </w:tcPr>
          <w:p w:rsidR="00F75BAF" w:rsidRDefault="003C3F26">
            <w:pPr>
              <w:spacing w:after="0" w:line="240" w:lineRule="auto"/>
              <w:rPr>
                <w:rFonts w:ascii="Arial" w:eastAsia="Arial" w:hAnsi="Arial" w:cs="Arial"/>
              </w:rPr>
            </w:pPr>
            <w:proofErr w:type="spellStart"/>
            <w:r>
              <w:rPr>
                <w:rFonts w:ascii="Arial" w:eastAsia="Arial" w:hAnsi="Arial" w:cs="Arial"/>
              </w:rPr>
              <w:t>Akácz</w:t>
            </w:r>
            <w:proofErr w:type="spellEnd"/>
            <w:r>
              <w:rPr>
                <w:rFonts w:ascii="Arial" w:eastAsia="Arial" w:hAnsi="Arial" w:cs="Arial"/>
              </w:rPr>
              <w:t xml:space="preserve"> Károlyné</w:t>
            </w:r>
          </w:p>
        </w:tc>
        <w:tc>
          <w:tcPr>
            <w:tcW w:w="4035" w:type="dxa"/>
            <w:tcMar>
              <w:top w:w="0" w:type="dxa"/>
              <w:left w:w="45" w:type="dxa"/>
              <w:bottom w:w="0" w:type="dxa"/>
              <w:right w:w="45" w:type="dxa"/>
            </w:tcMar>
            <w:vAlign w:val="center"/>
          </w:tcPr>
          <w:p w:rsidR="00F75BAF" w:rsidRDefault="00BE643D">
            <w:pPr>
              <w:spacing w:after="0" w:line="240" w:lineRule="auto"/>
              <w:jc w:val="center"/>
              <w:rPr>
                <w:rFonts w:ascii="Arial" w:eastAsia="Arial" w:hAnsi="Arial" w:cs="Arial"/>
              </w:rPr>
            </w:pPr>
            <w:r>
              <w:rPr>
                <w:rFonts w:ascii="Arial" w:eastAsia="Arial" w:hAnsi="Arial" w:cs="Arial"/>
              </w:rPr>
              <w:t>ének</w:t>
            </w:r>
          </w:p>
        </w:tc>
        <w:tc>
          <w:tcPr>
            <w:tcW w:w="4020" w:type="dxa"/>
            <w:tcMar>
              <w:top w:w="0" w:type="dxa"/>
              <w:left w:w="45" w:type="dxa"/>
              <w:bottom w:w="0" w:type="dxa"/>
              <w:right w:w="45" w:type="dxa"/>
            </w:tcMar>
            <w:vAlign w:val="center"/>
          </w:tcPr>
          <w:p w:rsidR="00F75BAF" w:rsidRDefault="003C3F26">
            <w:pPr>
              <w:spacing w:after="0" w:line="240" w:lineRule="auto"/>
              <w:jc w:val="center"/>
              <w:rPr>
                <w:rFonts w:ascii="Arial" w:eastAsia="Arial" w:hAnsi="Arial" w:cs="Arial"/>
              </w:rPr>
            </w:pPr>
            <w:r>
              <w:rPr>
                <w:rFonts w:ascii="Arial" w:eastAsia="Arial" w:hAnsi="Arial" w:cs="Arial"/>
              </w:rPr>
              <w:t>8/</w:t>
            </w:r>
            <w:proofErr w:type="gramStart"/>
            <w:r>
              <w:rPr>
                <w:rFonts w:ascii="Arial" w:eastAsia="Arial" w:hAnsi="Arial" w:cs="Arial"/>
              </w:rPr>
              <w:t>a</w:t>
            </w:r>
            <w:proofErr w:type="gramEnd"/>
          </w:p>
        </w:tc>
      </w:tr>
      <w:tr w:rsidR="00F75BAF">
        <w:trPr>
          <w:trHeight w:val="300"/>
        </w:trPr>
        <w:tc>
          <w:tcPr>
            <w:tcW w:w="2405" w:type="dxa"/>
            <w:tcMar>
              <w:top w:w="0" w:type="dxa"/>
              <w:left w:w="45" w:type="dxa"/>
              <w:bottom w:w="0" w:type="dxa"/>
              <w:right w:w="45" w:type="dxa"/>
            </w:tcMar>
            <w:vAlign w:val="center"/>
          </w:tcPr>
          <w:p w:rsidR="00F75BAF" w:rsidRDefault="003C3F26">
            <w:pPr>
              <w:spacing w:after="0" w:line="240" w:lineRule="auto"/>
              <w:rPr>
                <w:rFonts w:ascii="Arial" w:eastAsia="Arial" w:hAnsi="Arial" w:cs="Arial"/>
              </w:rPr>
            </w:pPr>
            <w:proofErr w:type="spellStart"/>
            <w:r>
              <w:rPr>
                <w:rFonts w:ascii="Arial" w:eastAsia="Arial" w:hAnsi="Arial" w:cs="Arial"/>
              </w:rPr>
              <w:t>Akácz</w:t>
            </w:r>
            <w:proofErr w:type="spellEnd"/>
            <w:r>
              <w:rPr>
                <w:rFonts w:ascii="Arial" w:eastAsia="Arial" w:hAnsi="Arial" w:cs="Arial"/>
              </w:rPr>
              <w:t xml:space="preserve"> Károlyné</w:t>
            </w:r>
          </w:p>
        </w:tc>
        <w:tc>
          <w:tcPr>
            <w:tcW w:w="4035" w:type="dxa"/>
            <w:tcMar>
              <w:top w:w="0" w:type="dxa"/>
              <w:left w:w="45" w:type="dxa"/>
              <w:bottom w:w="0" w:type="dxa"/>
              <w:right w:w="45" w:type="dxa"/>
            </w:tcMar>
            <w:vAlign w:val="center"/>
          </w:tcPr>
          <w:p w:rsidR="00F75BAF" w:rsidRDefault="00BE643D">
            <w:pPr>
              <w:spacing w:after="0" w:line="240" w:lineRule="auto"/>
              <w:jc w:val="center"/>
              <w:rPr>
                <w:rFonts w:ascii="Arial" w:eastAsia="Arial" w:hAnsi="Arial" w:cs="Arial"/>
              </w:rPr>
            </w:pPr>
            <w:r>
              <w:rPr>
                <w:rFonts w:ascii="Arial" w:eastAsia="Arial" w:hAnsi="Arial" w:cs="Arial"/>
              </w:rPr>
              <w:t>ének</w:t>
            </w:r>
          </w:p>
        </w:tc>
        <w:tc>
          <w:tcPr>
            <w:tcW w:w="4020" w:type="dxa"/>
            <w:tcMar>
              <w:top w:w="0" w:type="dxa"/>
              <w:left w:w="45" w:type="dxa"/>
              <w:bottom w:w="0" w:type="dxa"/>
              <w:right w:w="45" w:type="dxa"/>
            </w:tcMar>
            <w:vAlign w:val="center"/>
          </w:tcPr>
          <w:p w:rsidR="00F75BAF" w:rsidRDefault="003C3F26">
            <w:pPr>
              <w:spacing w:after="0" w:line="240" w:lineRule="auto"/>
              <w:jc w:val="center"/>
              <w:rPr>
                <w:rFonts w:ascii="Arial" w:eastAsia="Arial" w:hAnsi="Arial" w:cs="Arial"/>
              </w:rPr>
            </w:pPr>
            <w:r>
              <w:rPr>
                <w:rFonts w:ascii="Arial" w:eastAsia="Arial" w:hAnsi="Arial" w:cs="Arial"/>
              </w:rPr>
              <w:t>2/</w:t>
            </w:r>
            <w:proofErr w:type="gramStart"/>
            <w:r>
              <w:rPr>
                <w:rFonts w:ascii="Arial" w:eastAsia="Arial" w:hAnsi="Arial" w:cs="Arial"/>
              </w:rPr>
              <w:t>a</w:t>
            </w:r>
            <w:proofErr w:type="gramEnd"/>
          </w:p>
        </w:tc>
      </w:tr>
      <w:tr w:rsidR="00F75BAF">
        <w:trPr>
          <w:trHeight w:val="300"/>
        </w:trPr>
        <w:tc>
          <w:tcPr>
            <w:tcW w:w="2405" w:type="dxa"/>
            <w:tcMar>
              <w:top w:w="0" w:type="dxa"/>
              <w:left w:w="45" w:type="dxa"/>
              <w:bottom w:w="0" w:type="dxa"/>
              <w:right w:w="45" w:type="dxa"/>
            </w:tcMar>
            <w:vAlign w:val="center"/>
          </w:tcPr>
          <w:p w:rsidR="00F75BAF" w:rsidRDefault="003C3F26">
            <w:pPr>
              <w:spacing w:after="0" w:line="240" w:lineRule="auto"/>
              <w:rPr>
                <w:rFonts w:ascii="Arial" w:eastAsia="Arial" w:hAnsi="Arial" w:cs="Arial"/>
              </w:rPr>
            </w:pPr>
            <w:proofErr w:type="spellStart"/>
            <w:r>
              <w:rPr>
                <w:rFonts w:ascii="Arial" w:eastAsia="Arial" w:hAnsi="Arial" w:cs="Arial"/>
              </w:rPr>
              <w:t>Moraveczné</w:t>
            </w:r>
            <w:proofErr w:type="spellEnd"/>
            <w:r>
              <w:rPr>
                <w:rFonts w:ascii="Arial" w:eastAsia="Arial" w:hAnsi="Arial" w:cs="Arial"/>
              </w:rPr>
              <w:t xml:space="preserve"> Szabó Ildikó</w:t>
            </w:r>
          </w:p>
        </w:tc>
        <w:tc>
          <w:tcPr>
            <w:tcW w:w="4035" w:type="dxa"/>
            <w:tcMar>
              <w:top w:w="0" w:type="dxa"/>
              <w:left w:w="45" w:type="dxa"/>
              <w:bottom w:w="0" w:type="dxa"/>
              <w:right w:w="45" w:type="dxa"/>
            </w:tcMar>
            <w:vAlign w:val="center"/>
          </w:tcPr>
          <w:p w:rsidR="00F75BAF" w:rsidRDefault="00F75BAF">
            <w:pPr>
              <w:spacing w:after="0" w:line="240" w:lineRule="auto"/>
              <w:jc w:val="center"/>
              <w:rPr>
                <w:rFonts w:ascii="Arial" w:eastAsia="Arial" w:hAnsi="Arial" w:cs="Arial"/>
              </w:rPr>
            </w:pPr>
          </w:p>
        </w:tc>
        <w:tc>
          <w:tcPr>
            <w:tcW w:w="4020" w:type="dxa"/>
            <w:tcMar>
              <w:top w:w="0" w:type="dxa"/>
              <w:left w:w="45" w:type="dxa"/>
              <w:bottom w:w="0" w:type="dxa"/>
              <w:right w:w="45" w:type="dxa"/>
            </w:tcMar>
            <w:vAlign w:val="center"/>
          </w:tcPr>
          <w:p w:rsidR="00F75BAF" w:rsidRDefault="003C3F26">
            <w:pPr>
              <w:spacing w:after="0" w:line="240" w:lineRule="auto"/>
              <w:jc w:val="center"/>
              <w:rPr>
                <w:rFonts w:ascii="Arial" w:eastAsia="Arial" w:hAnsi="Arial" w:cs="Arial"/>
              </w:rPr>
            </w:pPr>
            <w:r>
              <w:rPr>
                <w:rFonts w:ascii="Arial" w:eastAsia="Arial" w:hAnsi="Arial" w:cs="Arial"/>
              </w:rPr>
              <w:t>2/</w:t>
            </w:r>
            <w:proofErr w:type="gramStart"/>
            <w:r>
              <w:rPr>
                <w:rFonts w:ascii="Arial" w:eastAsia="Arial" w:hAnsi="Arial" w:cs="Arial"/>
              </w:rPr>
              <w:t>a</w:t>
            </w:r>
            <w:proofErr w:type="gramEnd"/>
          </w:p>
        </w:tc>
      </w:tr>
      <w:tr w:rsidR="00F75BAF">
        <w:trPr>
          <w:trHeight w:val="300"/>
        </w:trPr>
        <w:tc>
          <w:tcPr>
            <w:tcW w:w="2405" w:type="dxa"/>
            <w:tcMar>
              <w:top w:w="0" w:type="dxa"/>
              <w:left w:w="45" w:type="dxa"/>
              <w:bottom w:w="0" w:type="dxa"/>
              <w:right w:w="45" w:type="dxa"/>
            </w:tcMar>
            <w:vAlign w:val="center"/>
          </w:tcPr>
          <w:p w:rsidR="00F75BAF" w:rsidRDefault="003C3F26">
            <w:pPr>
              <w:spacing w:after="0" w:line="240" w:lineRule="auto"/>
              <w:rPr>
                <w:rFonts w:ascii="Arial" w:eastAsia="Arial" w:hAnsi="Arial" w:cs="Arial"/>
              </w:rPr>
            </w:pPr>
            <w:proofErr w:type="spellStart"/>
            <w:r>
              <w:rPr>
                <w:rFonts w:ascii="Arial" w:eastAsia="Arial" w:hAnsi="Arial" w:cs="Arial"/>
              </w:rPr>
              <w:t>Antaliné</w:t>
            </w:r>
            <w:proofErr w:type="spellEnd"/>
            <w:r>
              <w:rPr>
                <w:rFonts w:ascii="Arial" w:eastAsia="Arial" w:hAnsi="Arial" w:cs="Arial"/>
              </w:rPr>
              <w:t xml:space="preserve"> </w:t>
            </w:r>
            <w:proofErr w:type="spellStart"/>
            <w:r>
              <w:rPr>
                <w:rFonts w:ascii="Arial" w:eastAsia="Arial" w:hAnsi="Arial" w:cs="Arial"/>
              </w:rPr>
              <w:t>Miss</w:t>
            </w:r>
            <w:proofErr w:type="spellEnd"/>
            <w:r>
              <w:rPr>
                <w:rFonts w:ascii="Arial" w:eastAsia="Arial" w:hAnsi="Arial" w:cs="Arial"/>
              </w:rPr>
              <w:t xml:space="preserve"> Lilla</w:t>
            </w:r>
          </w:p>
        </w:tc>
        <w:tc>
          <w:tcPr>
            <w:tcW w:w="4035" w:type="dxa"/>
            <w:tcMar>
              <w:top w:w="0" w:type="dxa"/>
              <w:left w:w="45" w:type="dxa"/>
              <w:bottom w:w="0" w:type="dxa"/>
              <w:right w:w="45" w:type="dxa"/>
            </w:tcMar>
            <w:vAlign w:val="center"/>
          </w:tcPr>
          <w:p w:rsidR="00F75BAF" w:rsidRDefault="003C3F26">
            <w:pPr>
              <w:spacing w:after="0" w:line="240" w:lineRule="auto"/>
              <w:jc w:val="center"/>
              <w:rPr>
                <w:rFonts w:ascii="Arial" w:eastAsia="Arial" w:hAnsi="Arial" w:cs="Arial"/>
              </w:rPr>
            </w:pPr>
            <w:r>
              <w:rPr>
                <w:rFonts w:ascii="Arial" w:eastAsia="Arial" w:hAnsi="Arial" w:cs="Arial"/>
              </w:rPr>
              <w:t>történelem</w:t>
            </w:r>
          </w:p>
        </w:tc>
        <w:tc>
          <w:tcPr>
            <w:tcW w:w="4020" w:type="dxa"/>
            <w:tcMar>
              <w:top w:w="0" w:type="dxa"/>
              <w:left w:w="45" w:type="dxa"/>
              <w:bottom w:w="0" w:type="dxa"/>
              <w:right w:w="45" w:type="dxa"/>
            </w:tcMar>
            <w:vAlign w:val="center"/>
          </w:tcPr>
          <w:p w:rsidR="00F75BAF" w:rsidRDefault="003C3F26">
            <w:pPr>
              <w:spacing w:after="0" w:line="240" w:lineRule="auto"/>
              <w:jc w:val="center"/>
              <w:rPr>
                <w:rFonts w:ascii="Arial" w:eastAsia="Arial" w:hAnsi="Arial" w:cs="Arial"/>
              </w:rPr>
            </w:pPr>
            <w:r>
              <w:rPr>
                <w:rFonts w:ascii="Arial" w:eastAsia="Arial" w:hAnsi="Arial" w:cs="Arial"/>
              </w:rPr>
              <w:t>6/</w:t>
            </w:r>
            <w:proofErr w:type="gramStart"/>
            <w:r>
              <w:rPr>
                <w:rFonts w:ascii="Arial" w:eastAsia="Arial" w:hAnsi="Arial" w:cs="Arial"/>
              </w:rPr>
              <w:t>a</w:t>
            </w:r>
            <w:proofErr w:type="gramEnd"/>
            <w:r>
              <w:rPr>
                <w:rFonts w:ascii="Arial" w:eastAsia="Arial" w:hAnsi="Arial" w:cs="Arial"/>
              </w:rPr>
              <w:t>, 6/b</w:t>
            </w:r>
          </w:p>
        </w:tc>
      </w:tr>
      <w:tr w:rsidR="00F75BAF">
        <w:trPr>
          <w:trHeight w:val="300"/>
        </w:trPr>
        <w:tc>
          <w:tcPr>
            <w:tcW w:w="2405" w:type="dxa"/>
            <w:tcMar>
              <w:top w:w="0" w:type="dxa"/>
              <w:left w:w="45" w:type="dxa"/>
              <w:bottom w:w="0" w:type="dxa"/>
              <w:right w:w="45" w:type="dxa"/>
            </w:tcMar>
            <w:vAlign w:val="center"/>
          </w:tcPr>
          <w:p w:rsidR="00F75BAF" w:rsidRDefault="003C3F26">
            <w:pPr>
              <w:spacing w:after="0" w:line="240" w:lineRule="auto"/>
              <w:rPr>
                <w:rFonts w:ascii="Arial" w:eastAsia="Arial" w:hAnsi="Arial" w:cs="Arial"/>
              </w:rPr>
            </w:pPr>
            <w:proofErr w:type="spellStart"/>
            <w:r>
              <w:rPr>
                <w:rFonts w:ascii="Arial" w:eastAsia="Arial" w:hAnsi="Arial" w:cs="Arial"/>
              </w:rPr>
              <w:t>Sabankóné</w:t>
            </w:r>
            <w:proofErr w:type="spellEnd"/>
            <w:r>
              <w:rPr>
                <w:rFonts w:ascii="Arial" w:eastAsia="Arial" w:hAnsi="Arial" w:cs="Arial"/>
              </w:rPr>
              <w:t xml:space="preserve"> Rédei Zita</w:t>
            </w:r>
          </w:p>
        </w:tc>
        <w:tc>
          <w:tcPr>
            <w:tcW w:w="4035" w:type="dxa"/>
            <w:tcMar>
              <w:top w:w="0" w:type="dxa"/>
              <w:left w:w="45" w:type="dxa"/>
              <w:bottom w:w="0" w:type="dxa"/>
              <w:right w:w="45" w:type="dxa"/>
            </w:tcMar>
            <w:vAlign w:val="center"/>
          </w:tcPr>
          <w:p w:rsidR="00F75BAF" w:rsidRDefault="00F75BAF">
            <w:pPr>
              <w:spacing w:after="0" w:line="240" w:lineRule="auto"/>
              <w:jc w:val="center"/>
              <w:rPr>
                <w:rFonts w:ascii="Arial" w:eastAsia="Arial" w:hAnsi="Arial" w:cs="Arial"/>
              </w:rPr>
            </w:pPr>
          </w:p>
        </w:tc>
        <w:tc>
          <w:tcPr>
            <w:tcW w:w="4020" w:type="dxa"/>
            <w:tcMar>
              <w:top w:w="0" w:type="dxa"/>
              <w:left w:w="45" w:type="dxa"/>
              <w:bottom w:w="0" w:type="dxa"/>
              <w:right w:w="45" w:type="dxa"/>
            </w:tcMar>
            <w:vAlign w:val="center"/>
          </w:tcPr>
          <w:p w:rsidR="00F75BAF" w:rsidRDefault="003C3F26">
            <w:pPr>
              <w:spacing w:after="0" w:line="240" w:lineRule="auto"/>
              <w:jc w:val="center"/>
              <w:rPr>
                <w:rFonts w:ascii="Arial" w:eastAsia="Arial" w:hAnsi="Arial" w:cs="Arial"/>
              </w:rPr>
            </w:pPr>
            <w:r>
              <w:rPr>
                <w:rFonts w:ascii="Arial" w:eastAsia="Arial" w:hAnsi="Arial" w:cs="Arial"/>
              </w:rPr>
              <w:t>2/</w:t>
            </w:r>
            <w:proofErr w:type="gramStart"/>
            <w:r>
              <w:rPr>
                <w:rFonts w:ascii="Arial" w:eastAsia="Arial" w:hAnsi="Arial" w:cs="Arial"/>
              </w:rPr>
              <w:t>a</w:t>
            </w:r>
            <w:proofErr w:type="gramEnd"/>
          </w:p>
        </w:tc>
      </w:tr>
    </w:tbl>
    <w:p w:rsidR="00F75BAF" w:rsidRDefault="00F75BAF">
      <w:pPr>
        <w:shd w:val="clear" w:color="auto" w:fill="FFFFFF"/>
        <w:spacing w:before="300" w:after="300" w:line="276" w:lineRule="auto"/>
        <w:ind w:right="300"/>
        <w:jc w:val="both"/>
        <w:rPr>
          <w:rFonts w:ascii="Times New Roman" w:eastAsia="Times New Roman" w:hAnsi="Times New Roman" w:cs="Times New Roman"/>
          <w:sz w:val="24"/>
          <w:szCs w:val="24"/>
        </w:rPr>
      </w:pPr>
    </w:p>
    <w:p w:rsidR="00F75BAF" w:rsidRDefault="00F75BAF">
      <w:pPr>
        <w:pBdr>
          <w:top w:val="nil"/>
          <w:left w:val="nil"/>
          <w:bottom w:val="nil"/>
          <w:right w:val="nil"/>
          <w:between w:val="nil"/>
        </w:pBdr>
        <w:shd w:val="clear" w:color="auto" w:fill="FFFFFF"/>
        <w:spacing w:before="300" w:after="300" w:line="276" w:lineRule="auto"/>
        <w:ind w:right="300"/>
        <w:jc w:val="both"/>
        <w:rPr>
          <w:rFonts w:ascii="Arial" w:eastAsia="Arial" w:hAnsi="Arial" w:cs="Arial"/>
          <w:color w:val="21282E"/>
        </w:rPr>
      </w:pPr>
    </w:p>
    <w:sectPr w:rsidR="00F75BAF" w:rsidSect="00CC34C7">
      <w:pgSz w:w="11906" w:h="16838"/>
      <w:pgMar w:top="720" w:right="720" w:bottom="720" w:left="720" w:header="0" w:footer="720"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75BAF"/>
    <w:rsid w:val="003C3F26"/>
    <w:rsid w:val="00B9489B"/>
    <w:rsid w:val="00BE643D"/>
    <w:rsid w:val="00C23D3E"/>
    <w:rsid w:val="00CA4927"/>
    <w:rsid w:val="00CC34C7"/>
    <w:rsid w:val="00F75BA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34C7"/>
  </w:style>
  <w:style w:type="paragraph" w:styleId="Cmsor1">
    <w:name w:val="heading 1"/>
    <w:basedOn w:val="Norml"/>
    <w:next w:val="Norml"/>
    <w:uiPriority w:val="9"/>
    <w:qFormat/>
    <w:rsid w:val="00CC34C7"/>
    <w:pPr>
      <w:keepNext/>
      <w:keepLines/>
      <w:spacing w:before="480" w:after="120"/>
      <w:outlineLvl w:val="0"/>
    </w:pPr>
    <w:rPr>
      <w:b/>
      <w:sz w:val="48"/>
      <w:szCs w:val="48"/>
    </w:rPr>
  </w:style>
  <w:style w:type="paragraph" w:styleId="Cmsor2">
    <w:name w:val="heading 2"/>
    <w:basedOn w:val="Norml"/>
    <w:next w:val="Norml"/>
    <w:uiPriority w:val="9"/>
    <w:semiHidden/>
    <w:unhideWhenUsed/>
    <w:qFormat/>
    <w:rsid w:val="00CC34C7"/>
    <w:pPr>
      <w:keepNext/>
      <w:keepLines/>
      <w:spacing w:before="360" w:after="80"/>
      <w:outlineLvl w:val="1"/>
    </w:pPr>
    <w:rPr>
      <w:b/>
      <w:sz w:val="36"/>
      <w:szCs w:val="36"/>
    </w:rPr>
  </w:style>
  <w:style w:type="paragraph" w:styleId="Cmsor3">
    <w:name w:val="heading 3"/>
    <w:basedOn w:val="Norml"/>
    <w:next w:val="Norml"/>
    <w:uiPriority w:val="9"/>
    <w:semiHidden/>
    <w:unhideWhenUsed/>
    <w:qFormat/>
    <w:rsid w:val="00CC34C7"/>
    <w:pPr>
      <w:keepNext/>
      <w:keepLines/>
      <w:spacing w:before="280" w:after="80"/>
      <w:outlineLvl w:val="2"/>
    </w:pPr>
    <w:rPr>
      <w:b/>
      <w:sz w:val="28"/>
      <w:szCs w:val="28"/>
    </w:rPr>
  </w:style>
  <w:style w:type="paragraph" w:styleId="Cmsor4">
    <w:name w:val="heading 4"/>
    <w:basedOn w:val="Norml"/>
    <w:next w:val="Norml"/>
    <w:uiPriority w:val="9"/>
    <w:semiHidden/>
    <w:unhideWhenUsed/>
    <w:qFormat/>
    <w:rsid w:val="00CC34C7"/>
    <w:pPr>
      <w:keepNext/>
      <w:keepLines/>
      <w:spacing w:before="240" w:after="40"/>
      <w:outlineLvl w:val="3"/>
    </w:pPr>
    <w:rPr>
      <w:b/>
      <w:sz w:val="24"/>
      <w:szCs w:val="24"/>
    </w:rPr>
  </w:style>
  <w:style w:type="paragraph" w:styleId="Cmsor5">
    <w:name w:val="heading 5"/>
    <w:basedOn w:val="Norml"/>
    <w:next w:val="Norml"/>
    <w:uiPriority w:val="9"/>
    <w:semiHidden/>
    <w:unhideWhenUsed/>
    <w:qFormat/>
    <w:rsid w:val="00CC34C7"/>
    <w:pPr>
      <w:keepNext/>
      <w:keepLines/>
      <w:spacing w:before="220" w:after="40"/>
      <w:outlineLvl w:val="4"/>
    </w:pPr>
    <w:rPr>
      <w:b/>
    </w:rPr>
  </w:style>
  <w:style w:type="paragraph" w:styleId="Cmsor6">
    <w:name w:val="heading 6"/>
    <w:basedOn w:val="Norml"/>
    <w:next w:val="Norml"/>
    <w:uiPriority w:val="9"/>
    <w:semiHidden/>
    <w:unhideWhenUsed/>
    <w:qFormat/>
    <w:rsid w:val="00CC34C7"/>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CC34C7"/>
    <w:tblPr>
      <w:tblCellMar>
        <w:top w:w="0" w:type="dxa"/>
        <w:left w:w="0" w:type="dxa"/>
        <w:bottom w:w="0" w:type="dxa"/>
        <w:right w:w="0" w:type="dxa"/>
      </w:tblCellMar>
    </w:tblPr>
  </w:style>
  <w:style w:type="paragraph" w:styleId="Cm">
    <w:name w:val="Title"/>
    <w:basedOn w:val="Norml"/>
    <w:next w:val="Norml"/>
    <w:uiPriority w:val="10"/>
    <w:qFormat/>
    <w:rsid w:val="00CC34C7"/>
    <w:pPr>
      <w:keepNext/>
      <w:keepLines/>
      <w:spacing w:before="480" w:after="120"/>
    </w:pPr>
    <w:rPr>
      <w:b/>
      <w:sz w:val="72"/>
      <w:szCs w:val="72"/>
    </w:rPr>
  </w:style>
  <w:style w:type="paragraph" w:styleId="Alcm">
    <w:name w:val="Subtitle"/>
    <w:basedOn w:val="Norml"/>
    <w:next w:val="Norml"/>
    <w:uiPriority w:val="11"/>
    <w:qFormat/>
    <w:rsid w:val="00CC34C7"/>
    <w:pPr>
      <w:keepNext/>
      <w:keepLines/>
      <w:spacing w:before="360" w:after="80"/>
    </w:pPr>
    <w:rPr>
      <w:rFonts w:ascii="Georgia" w:eastAsia="Georgia" w:hAnsi="Georgia" w:cs="Georgia"/>
      <w:i/>
      <w:color w:val="666666"/>
      <w:sz w:val="48"/>
      <w:szCs w:val="48"/>
    </w:rPr>
  </w:style>
  <w:style w:type="table" w:customStyle="1" w:styleId="a">
    <w:basedOn w:val="TableNormal"/>
    <w:rsid w:val="00CC34C7"/>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394</Words>
  <Characters>2725</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Móricz Zsigmond Általános Iskola</cp:lastModifiedBy>
  <cp:revision>11</cp:revision>
  <dcterms:created xsi:type="dcterms:W3CDTF">2019-09-03T04:53:00Z</dcterms:created>
  <dcterms:modified xsi:type="dcterms:W3CDTF">2019-09-16T07:47:00Z</dcterms:modified>
</cp:coreProperties>
</file>